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7466" w14:textId="77777777" w:rsidR="001476AB" w:rsidRDefault="001476AB" w:rsidP="00194E59">
      <w:pPr>
        <w:jc w:val="center"/>
        <w:rPr>
          <w:b/>
          <w:bCs/>
        </w:rPr>
      </w:pPr>
    </w:p>
    <w:p w14:paraId="56A392AA" w14:textId="1E0C094F" w:rsidR="00194E59" w:rsidRDefault="009B6388" w:rsidP="00194E59">
      <w:pPr>
        <w:jc w:val="center"/>
        <w:rPr>
          <w:b/>
          <w:bCs/>
        </w:rPr>
      </w:pPr>
      <w:r>
        <w:rPr>
          <w:b/>
          <w:bCs/>
        </w:rPr>
        <w:t>TÓM TẮT MỘT SỐ VỤ TRANH CHẤP TỪ THỰC TIỄN VIAC</w:t>
      </w:r>
    </w:p>
    <w:p w14:paraId="44B7A17B" w14:textId="77777777" w:rsidR="00194E59" w:rsidRDefault="00194E59" w:rsidP="00194E59">
      <w:pPr>
        <w:rPr>
          <w:b/>
          <w:bCs/>
        </w:rPr>
      </w:pPr>
    </w:p>
    <w:p w14:paraId="67F98955" w14:textId="0490E785" w:rsidR="00194E59" w:rsidRPr="00194E59" w:rsidRDefault="00BE25C5" w:rsidP="00194E59">
      <w:pPr>
        <w:pStyle w:val="ListParagraph"/>
        <w:numPr>
          <w:ilvl w:val="0"/>
          <w:numId w:val="1"/>
        </w:numPr>
        <w:ind w:left="284" w:hanging="284"/>
        <w:rPr>
          <w:b/>
          <w:bCs/>
        </w:rPr>
      </w:pPr>
      <w:r>
        <w:rPr>
          <w:b/>
          <w:bCs/>
        </w:rPr>
        <w:t>Vấn đề</w:t>
      </w:r>
      <w:r w:rsidR="00194E59">
        <w:rPr>
          <w:b/>
          <w:bCs/>
        </w:rPr>
        <w:t xml:space="preserve"> tranh chấp 01</w:t>
      </w:r>
    </w:p>
    <w:p w14:paraId="5756C3ED" w14:textId="77777777" w:rsidR="009A0987" w:rsidRPr="00457707" w:rsidRDefault="009A0987" w:rsidP="009A0987">
      <w:pPr>
        <w:pStyle w:val="ListParagraph"/>
        <w:ind w:left="0" w:firstLine="567"/>
        <w:rPr>
          <w:b/>
          <w:bCs/>
        </w:rPr>
      </w:pPr>
      <w:r>
        <w:rPr>
          <w:b/>
          <w:bCs/>
        </w:rPr>
        <w:t>Tóm tắt vụ tranh chấp</w:t>
      </w:r>
    </w:p>
    <w:p w14:paraId="36A7311E" w14:textId="77777777" w:rsidR="009A0987" w:rsidRDefault="009A0987" w:rsidP="009A0987">
      <w:pPr>
        <w:pStyle w:val="ListParagraph"/>
        <w:ind w:left="0" w:firstLine="567"/>
      </w:pPr>
      <w:r>
        <w:t>Trong vụ tranh chấp này, Bị đơn (chủ đầu tư) đã ký kết Hợp đồng tổng thầu với một bên thứ ba, trong đó có điều khoản giải quyết tranh chấp tại trọng tài (không nêu rõ tên trung tâm trọng tài). Sau đó, bên thứ ba và Nguyên đơn (nhà thầu) tiếp tục ký kết Phụ lục điều chỉnh Hợp đồng tổng thầu. Theo Phụ lục Hợp đồng này, Nguyên đơn thừa hưởng mọi quyền và nghĩa vụ của bên thứ ba và tất cả các điều khoản còn lại nêu trong Hợp đồng tổng thầu đều không thay đổi; Phụ lục Hợp đồng là một bộ phận không thể tách rời của Hợp đồng tổng thầu. Nhận thấy Bị đơn có sự vi phạm nghĩa vụ thanh toán, Nguyên đơn đã khởi kiện ra VIAC. Câu hỏi đặt ra là liệu thỏa thuận trọng tài có hiệu lực ràng buộc với Nguyên đơn và Bị đơn hay không, và Hội đồng Trọng tài được thành lập tại VIAC có thẩm quyền giải quyết vụ tranh chấp giữa Nguyên đơn và Bị đơn hay không.</w:t>
      </w:r>
    </w:p>
    <w:p w14:paraId="47141374" w14:textId="77777777" w:rsidR="009A0987" w:rsidRDefault="009A0987" w:rsidP="009A0987">
      <w:pPr>
        <w:pStyle w:val="ListParagraph"/>
        <w:ind w:left="0" w:firstLine="567"/>
      </w:pPr>
      <w:r>
        <w:t xml:space="preserve">Trên cơ sở nội dung của Phụ lục Hợp đồng, Hội đồng Trọng tài xét thấy đã có sự chuyển giao hợp đồng từ bên thứ ba sang Nguyên đơn, và trong quá trình thực hiện Hợp đồng cũng không có chủ thể nào phản đối việc chuyển giao này. Theo khoản 3 Điều 7 Nghị quyết 01/2014, khi có sự chuyển giao quyền, nghĩa vụ phát sinh từ hợp đồng mà trong hợp đồng đó các bên có xác lập thỏa thuận trọng tài hợp pháp thì thỏa thuận trọng tài trong hợp đồng vẫn có hiệu lực đối với bên được chuyển giao và bên nhận chuyển giao, trừ trường hợp các bên có thỏa thuận khác. Như vậy, giữa Nguyên đơn và Bị đơn tồn tại một thỏa thuận trọng tài hợp pháp và có hiệu lực ràng buộc. </w:t>
      </w:r>
    </w:p>
    <w:p w14:paraId="683B34E3" w14:textId="77777777" w:rsidR="009A0987" w:rsidRDefault="009A0987" w:rsidP="009A0987">
      <w:pPr>
        <w:pStyle w:val="ListParagraph"/>
        <w:ind w:left="0" w:firstLine="567"/>
      </w:pPr>
      <w:r>
        <w:t xml:space="preserve">Tại Đề nghị thanh toán mà Nguyên đơn gửi cho Bị đơn đã nêu rõ, trong trường hợp Bị đơn tiếp tục trì hoãn và không thanh toán cho Nguyên đơn, Nguyên đơn sẽ đưa vụ việc ra giải quyết tại VIAC. Như vậy, mặc dù thỏa thuận trọng tài không đề cập tới tên trung tâm trọng tài, nội dung Đề nghị thanh toán của Nguyên đơn đã cụ thể hóa mong muốn giải quyết tranh chấp tại VIAC. Hội đồng Trọng tài xét thấy việc Nguyên đơn khởi kiện tại VIAC là phù hợp với thỏa thuận trọng tài giữa các bên và pháp luật Việt Nam (khoản 5 Điều 43 Luật Trọng tài thương mại 2010). </w:t>
      </w:r>
    </w:p>
    <w:p w14:paraId="4268C9F2" w14:textId="77777777" w:rsidR="009A0987" w:rsidRDefault="009A0987" w:rsidP="009A0987">
      <w:pPr>
        <w:pStyle w:val="ListParagraph"/>
        <w:ind w:left="0" w:firstLine="567"/>
        <w:rPr>
          <w:b/>
          <w:bCs/>
        </w:rPr>
      </w:pPr>
      <w:r>
        <w:rPr>
          <w:b/>
          <w:bCs/>
        </w:rPr>
        <w:t>Bài học kinh nghiệm</w:t>
      </w:r>
    </w:p>
    <w:p w14:paraId="669791F4" w14:textId="77777777" w:rsidR="00194E59" w:rsidRDefault="009A0987" w:rsidP="009A0987">
      <w:pPr>
        <w:ind w:firstLine="567"/>
      </w:pPr>
      <w:r>
        <w:t xml:space="preserve">Khi thực hiện chuyển giao hợp đồng xây dựng, bên cạnh các điều khoản về quyền và nghĩa vụ thực hiện hợp đồng của các bên, nhà thầu nhận chuyển giao còn phải đặc biệt lưu tâm đến điều khoản giải quyết tranh chấp. Trong trường hợp hợp đồng đã có điều khoản thỏa thuận trọng tài có hiệu lực, khi phát sinh tranh chấp, nhà thầu nhận chuyển giao cần thực hiện theo đúng điều khoản trọng tài đã nêu tại hợp đồng. Trong trường hợp thỏa thuận trọng tài chưa nêu rõ tên trung tâm </w:t>
      </w:r>
      <w:r>
        <w:lastRenderedPageBreak/>
        <w:t xml:space="preserve">trọng tài, nhà thầu cần tham chiếu đến khoản 5 Điều 43 Luật Trọng tài thương mại 2010 để hoàn thiện hồ sơ trước khi khởi kiện. </w:t>
      </w:r>
    </w:p>
    <w:p w14:paraId="49182ED1" w14:textId="374798E7" w:rsidR="009A0987" w:rsidRPr="00194E59" w:rsidRDefault="00BE25C5" w:rsidP="00194E59">
      <w:pPr>
        <w:pStyle w:val="ListParagraph"/>
        <w:numPr>
          <w:ilvl w:val="0"/>
          <w:numId w:val="1"/>
        </w:numPr>
        <w:ind w:left="284" w:hanging="284"/>
        <w:rPr>
          <w:b/>
          <w:bCs/>
        </w:rPr>
      </w:pPr>
      <w:r>
        <w:rPr>
          <w:b/>
          <w:bCs/>
        </w:rPr>
        <w:t>Vấn đề</w:t>
      </w:r>
      <w:r w:rsidR="00194E59">
        <w:rPr>
          <w:b/>
          <w:bCs/>
        </w:rPr>
        <w:t xml:space="preserve"> tranh chấp 02</w:t>
      </w:r>
    </w:p>
    <w:p w14:paraId="18B7EBCF" w14:textId="77777777" w:rsidR="009A0987" w:rsidRDefault="009A0987" w:rsidP="009A0987">
      <w:pPr>
        <w:pStyle w:val="ListParagraph"/>
        <w:ind w:left="0" w:firstLine="567"/>
        <w:rPr>
          <w:b/>
          <w:bCs/>
        </w:rPr>
      </w:pPr>
      <w:r>
        <w:rPr>
          <w:b/>
          <w:bCs/>
        </w:rPr>
        <w:t>Tóm tắt vụ tranh chấp</w:t>
      </w:r>
    </w:p>
    <w:p w14:paraId="62DE2203" w14:textId="77777777" w:rsidR="009A0987" w:rsidRDefault="009A0987" w:rsidP="009A0987">
      <w:pPr>
        <w:pStyle w:val="ListParagraph"/>
        <w:ind w:left="0" w:firstLine="567"/>
      </w:pPr>
      <w:r>
        <w:t xml:space="preserve">Cũng trong vụ tranh chấp nêu trên, một trong các yêu cầu khởi kiện của Nguyên đơn là Bị đơn phải thanh toán chi phí luật sư của Nguyên đơn cho việc giải quyết tranh chấp tại VIAC. Bị đơn cho rằng giữa các bên chưa xác lập bất kỳ thỏa thuận nào liên quan đến phí luật sư cho việc giải quyết tranh chấp phát sinh từ Hợp đồng tổng thầu, việc Nguyên đơn khởi kiện Bị đơn tại VIAC và lựa chọn công ty luật để bảo vệ quyền và lợi ích của mình trong vụ tranh chấp hoàn toàn là ý chí đơn phương của Nguyên đơn. Do vậy, Bị đơn cho rằng Bị đơn không có nghĩa vụ thanh toán các chi phí này theo yêu cầu của Nguyên đơn. </w:t>
      </w:r>
    </w:p>
    <w:p w14:paraId="7ECBC7AB" w14:textId="77777777" w:rsidR="009A0987" w:rsidRDefault="009A0987" w:rsidP="009A0987">
      <w:pPr>
        <w:pStyle w:val="ListParagraph"/>
        <w:ind w:left="0" w:firstLine="567"/>
      </w:pPr>
      <w:r>
        <w:t>Hội đồng Trọng tài đã xem xét vấn đề này trên cơ sở Điều 303 Luật Thương mại 2005. Theo đó, trách nhiệm bồi thường thiệt hại phát sinh khi có đủ các yếu tố: có hành vi vi phạm hợp đồng, có thiệt hại thực tế, và hành vi vi phạm hợp đồng là nguyên nhân trực tiếp gây ra thiệt hại. Sau khi xem xét ý kiến của các bên, Hội đồng Trọng tài nhận thấy ba điều kiện trên đều đáp ứng. Cụ thể, Bị đơn vi phạm nghĩa vụ thanh toán là hành vi vi phạm hợp đồng; Nguyên đơn có thiệt hại thực tế chính là chi phí thuê luật sư (theo tài liệu, chứng cứ Nguyên đơn cung cấp); và theo giải trình của Nguyên đơn, chi phí luật sư này xuất phát từ chính hành vi vi phạm của Bị đơn, nếu Bị đơn thực hiện đúng hợp đồng thì Nguyên đơn đã không phát sinh khoản chi phí thuê luật sư nhằm bảo vệ quyền và lợi ích hợp pháp. Hội đồng Trọng tài cũng nhận thấy mức phí luật sư như Nguyên đơn yêu cầu là hợp lý và phù hợp với nội dung vụ tranh chấp, với Hợp đồng dịch vụ pháp lý do Nguyên đơn cung cấp. Từ các căn cứ nêu trên, Hội đồng Trọng tài chấp nhận yêu cầu khởi kiện của Nguyên đơn về phí luật sư.</w:t>
      </w:r>
    </w:p>
    <w:p w14:paraId="6AB7F19D" w14:textId="77777777" w:rsidR="009A0987" w:rsidRDefault="009A0987" w:rsidP="009A0987">
      <w:pPr>
        <w:pStyle w:val="ListParagraph"/>
        <w:ind w:left="0" w:firstLine="567"/>
        <w:rPr>
          <w:b/>
          <w:bCs/>
        </w:rPr>
      </w:pPr>
      <w:r>
        <w:rPr>
          <w:b/>
          <w:bCs/>
        </w:rPr>
        <w:t>Bài học kinh nghiệm</w:t>
      </w:r>
    </w:p>
    <w:p w14:paraId="2DBD160A" w14:textId="77777777" w:rsidR="009A0987" w:rsidRDefault="009A0987" w:rsidP="009A0987">
      <w:pPr>
        <w:pStyle w:val="ListParagraph"/>
        <w:ind w:left="0" w:firstLine="567"/>
      </w:pPr>
      <w:r>
        <w:t xml:space="preserve">Như vậy, khi tham gia giải quyết tranh chấp tại VIAC, nhà thầu có thể đưa ra yêu cầu về phí luật sư để Hội đồng Trọng tài xem xét, ngay cả khi giữa các bên không tồn tại thỏa thuận về vấn đề này. Tuy nhiên, yêu cầu về phí luật sư mà nhà thầu đưa ra phải hợp lý và đầy đủ tài liệu, bằng chứng kèm theo, như: hợp đồng dịch vụ pháp lý, hóa đơn giá trị gia tăng, các tài liệu chứng minh mối quan hệ giữa hành vi vi phạm của bên còn lại và chi phí luật sư thực tế nhà thầu phải chi trả,... Từ đó, nhà thầu có thể gia tăng cơ hội được chấp nhận yêu cầu về phí luật sư, bảo vệ được quyền và lợi ích chính đáng của mình. </w:t>
      </w:r>
    </w:p>
    <w:p w14:paraId="212371EF" w14:textId="2EF6D461" w:rsidR="00194E59" w:rsidRPr="00194E59" w:rsidRDefault="00BE25C5" w:rsidP="00194E59">
      <w:pPr>
        <w:pStyle w:val="ListParagraph"/>
        <w:numPr>
          <w:ilvl w:val="0"/>
          <w:numId w:val="1"/>
        </w:numPr>
        <w:ind w:left="284" w:hanging="284"/>
        <w:rPr>
          <w:b/>
          <w:bCs/>
        </w:rPr>
      </w:pPr>
      <w:r>
        <w:rPr>
          <w:b/>
          <w:bCs/>
        </w:rPr>
        <w:t>Vấn đề</w:t>
      </w:r>
      <w:r w:rsidR="00194E59">
        <w:rPr>
          <w:b/>
          <w:bCs/>
        </w:rPr>
        <w:t xml:space="preserve"> tranh chấp 03</w:t>
      </w:r>
    </w:p>
    <w:p w14:paraId="4C1CCDA8" w14:textId="77777777" w:rsidR="009A0987" w:rsidRDefault="009A0987" w:rsidP="009A0987">
      <w:pPr>
        <w:pStyle w:val="ListParagraph"/>
        <w:ind w:left="0" w:firstLine="567"/>
        <w:rPr>
          <w:b/>
          <w:bCs/>
        </w:rPr>
      </w:pPr>
      <w:r>
        <w:rPr>
          <w:b/>
          <w:bCs/>
        </w:rPr>
        <w:t>Tóm tắt vụ tranh chấp</w:t>
      </w:r>
    </w:p>
    <w:p w14:paraId="080A905C" w14:textId="77777777" w:rsidR="009A0987" w:rsidRDefault="009A0987" w:rsidP="009A0987">
      <w:pPr>
        <w:pStyle w:val="ListParagraph"/>
        <w:ind w:left="0" w:firstLine="567"/>
      </w:pPr>
      <w:r>
        <w:lastRenderedPageBreak/>
        <w:t xml:space="preserve">Trong vụ tranh chấp này, Nguyên đơn (nhà thầu) và Bị đơn (chủ đầu tư) đã ký kết hợp đồng thi công hạng mục công tác điện nhẹ cho các công trình của Bị đơn. Sau khi hoàn thành công việc được giao thầu, Nguyên đơn đã chuyển giao trực tiếp cho Bị đơn Hồ sơ quyết toán với số lượng, hình thức và nội dung đầy đủ theo thỏa thuận của các bên về điều kiện thanh toán đợt cuối. Tuy nhiên, Bị đơn không có bất cứ phản hồi chính thức nào cho Nguyên đơn về việc chấp thuận hay không chấp thuận việc nghiệm thu, bàn giao công trình cũng như Hồ sơ quyết toán của Nguyên đơn. Do đó, Nguyên đơn khởi kiện ra VIAC để yêu cầu Bị đơn thực hiện thanh lý hợp đồng, thanh toán đợt cuối cho Nguyên đơn. </w:t>
      </w:r>
    </w:p>
    <w:p w14:paraId="1850C33C" w14:textId="7A264223" w:rsidR="009A0987" w:rsidRDefault="009A0987" w:rsidP="009A0987">
      <w:pPr>
        <w:pStyle w:val="ListParagraph"/>
        <w:ind w:left="0" w:firstLine="567"/>
      </w:pPr>
      <w:r>
        <w:t xml:space="preserve">Vấn đề pháp lý đặt ra để Hội đồng Trọng tài xem xét là: Liệu Bị đơn có căn cứ pháp lý hay có quyền trì hoãn việc nghiệm thu, bàn giao công trình với một thời hạn không xác định, kéo theo việc có căn cứ để trì hoãn </w:t>
      </w:r>
      <w:r w:rsidR="00D05EBD">
        <w:t>vô</w:t>
      </w:r>
      <w:r>
        <w:t xml:space="preserve"> thời hạn việc thanh lý hợp đồng và thanh toán đối với Nguyên đơn hay không. Do hợp đồng giữa các bên không có điều khoản nào quy định cụ thể thời hạn Bị đơn phải xem xét và ký xác nhận Hồ sơ quyết toán, Hội đồng Trọng tài căn cứ vào các quy định của pháp luật Việt Nam, bao gồm khoản 2 Điều 147 Luật Xây dựng và </w:t>
      </w:r>
      <w:r w:rsidR="003B32D8">
        <w:t xml:space="preserve">khoản 3 </w:t>
      </w:r>
      <w:r>
        <w:t xml:space="preserve">Điều 278 Bộ luật Dân sự 2015 để giải quyết vấn đề này. Trên cơ sở tham chiếu các quy định pháp luật và tình tiết vụ tranh chấp, Hội đồng Trọng tài nhận thấy Bị đơn đã cố tình trì hoãn không xem xét, phản hồi và xác nhận Hồ sơ quyết toán cho Nguyên đơn mà không đưa ra được các lý do khách quan và bằng chứng xác đáng thuyết phục, nên Bị đơn đã vi phạm nghĩa vụ nghiệm thu, bàn giao và quyết toán công trình theo hợp đồng. </w:t>
      </w:r>
      <w:r w:rsidR="003B32D8">
        <w:t>Do Hợp đồng không có quy định thời hạn cụ thể, Hội đồng Trọng tài có thể căn cứ theo các điều khoản nêu trên để xác định một khoảng thời gian hợp lý để buộc Bị đơn phải thực hiện (VD: Không quá 120 ngày).</w:t>
      </w:r>
    </w:p>
    <w:p w14:paraId="6D5E95E8" w14:textId="77777777" w:rsidR="009A0987" w:rsidRDefault="009A0987" w:rsidP="009A0987">
      <w:pPr>
        <w:pStyle w:val="ListParagraph"/>
        <w:ind w:left="0" w:firstLine="567"/>
        <w:rPr>
          <w:b/>
          <w:bCs/>
        </w:rPr>
      </w:pPr>
      <w:r>
        <w:rPr>
          <w:b/>
          <w:bCs/>
        </w:rPr>
        <w:t>Bài học kinh nghiệm</w:t>
      </w:r>
    </w:p>
    <w:p w14:paraId="60A9DF90" w14:textId="2AC6B8BC" w:rsidR="009A0987" w:rsidRDefault="009A0987" w:rsidP="009A0987">
      <w:pPr>
        <w:pStyle w:val="ListParagraph"/>
        <w:ind w:left="0" w:firstLine="567"/>
      </w:pPr>
      <w:r>
        <w:t xml:space="preserve">Như vậy, trong quá trình giao kết hợp đồng, nhà thầu cần thỏa thuận với chủ đầu tư nhằm xác định một thời hạn cụ thể để phản hồi Hồ sơ quyết toán, tránh trường hợp chủ đầu tư viện dẫn việc không có thỏa thuận để cố tình trì hoãn không thời hạn việc thanh lý và thanh toán theo hợp đồng. Trong trường hợp hợp đồng chưa có quy định </w:t>
      </w:r>
      <w:r w:rsidR="003B32D8">
        <w:t>thì có thể vận dụng khoản 2 Điều 147 Luật Xây dựng và khoản 3 Điều 278 Bộ luật Dân sự 2015 để ấn định một khoảng thời gian hợp lý để buộc Chủ đầu tư phải thực hiện nghĩa vụ của mình. Điều này giúp tránh trường hợp Chủ đầu tư cố ý trì hoãn.</w:t>
      </w:r>
    </w:p>
    <w:p w14:paraId="13446443" w14:textId="46CC6C90" w:rsidR="00194E59" w:rsidRPr="00194E59" w:rsidRDefault="00BE25C5" w:rsidP="00194E59">
      <w:pPr>
        <w:pStyle w:val="ListParagraph"/>
        <w:numPr>
          <w:ilvl w:val="0"/>
          <w:numId w:val="1"/>
        </w:numPr>
        <w:ind w:left="284" w:hanging="284"/>
        <w:rPr>
          <w:b/>
          <w:bCs/>
        </w:rPr>
      </w:pPr>
      <w:r>
        <w:rPr>
          <w:b/>
          <w:bCs/>
        </w:rPr>
        <w:t>Vấn đề</w:t>
      </w:r>
      <w:r w:rsidR="00194E59">
        <w:rPr>
          <w:b/>
          <w:bCs/>
        </w:rPr>
        <w:t xml:space="preserve"> tranh chấp 04</w:t>
      </w:r>
    </w:p>
    <w:p w14:paraId="656ED727" w14:textId="77777777" w:rsidR="009A0987" w:rsidRDefault="009A0987" w:rsidP="009A0987">
      <w:pPr>
        <w:pStyle w:val="ListParagraph"/>
        <w:ind w:left="0" w:firstLine="567"/>
        <w:rPr>
          <w:b/>
          <w:bCs/>
        </w:rPr>
      </w:pPr>
      <w:r>
        <w:rPr>
          <w:b/>
          <w:bCs/>
        </w:rPr>
        <w:t>Tóm tắt vụ tranh chấp</w:t>
      </w:r>
    </w:p>
    <w:p w14:paraId="6840D685" w14:textId="77777777" w:rsidR="009A0987" w:rsidRDefault="009A0987" w:rsidP="009A0987">
      <w:pPr>
        <w:pStyle w:val="ListParagraph"/>
        <w:ind w:left="0" w:firstLine="567"/>
      </w:pPr>
      <w:r>
        <w:t xml:space="preserve">Trong vụ tranh chấp này, một liên danh gồm ba nhà thầu, trong đó có Nguyên đơn (Nguyên đơn không phải thành viên đứng đầu liên danh), tham gia ký kết hợp đồng với Bị đơn cho hạng mục công việc lập thiết kế kĩ thuật – tổng dự toán cho dự án. Các thành viên liên danh đã ký thỏa </w:t>
      </w:r>
      <w:r>
        <w:lastRenderedPageBreak/>
        <w:t xml:space="preserve">thuận liên danh chi tiết về việc phân bổ công việc, tiến độ thực hiện và thu nhập tài chính của từng thành viên. </w:t>
      </w:r>
    </w:p>
    <w:p w14:paraId="1A72A6FA" w14:textId="77777777" w:rsidR="009A0987" w:rsidRDefault="009A0987" w:rsidP="009A0987">
      <w:pPr>
        <w:pStyle w:val="ListParagraph"/>
        <w:ind w:left="0" w:firstLine="567"/>
      </w:pPr>
      <w:r>
        <w:t xml:space="preserve">Các bên đã thực hiện nghiêm túc các nghĩa vụ trong hợp đồng giữa liên danh và Bị đơn. Hợp đồng này quy định rằng, Bị đơn chỉ thanh toán khi có đủ các hồ sơ gồm: giấy đề nghị thanh toán của thành viên đứng đầu liên danh, sản phẩm thiết kế được chủ đầu tư chấp nhận và các biên bản nghiệm thu, hóa đơn khác. Bị đơn đã từ chối thanh toán cho Nguyên đơn với lý do điều kiện về hồ sơ thanh toán chưa được đáp ứng, cụ thể là chưa có giấy đề nghị thanh toán của thành viên đứng đầu liên danh. Như vậy, câu hỏi pháp lý đặt ra là liệu thiếu điều kiện giấy đề nghị thanh toán của thành viên đứng đầu liên danh có trở thành cơ sở pháp lý để Bị đơn từ chối thực hiện thanh toán cho Nguyên đơn hay không?  </w:t>
      </w:r>
    </w:p>
    <w:p w14:paraId="3B7C858F" w14:textId="77777777" w:rsidR="009A0987" w:rsidRDefault="009A0987" w:rsidP="009A0987">
      <w:pPr>
        <w:pStyle w:val="ListParagraph"/>
        <w:ind w:left="0" w:firstLine="567"/>
      </w:pPr>
      <w:r>
        <w:t xml:space="preserve">Hội đồng Trọng tài đã căn cứ vào bản chất của hợp đồng giữa liên danh với Bị đơn và thỏa thuận liên danh của các thành viên để xem xét, giải quyết vấn đề pháp lý nêu trên. Do các thành viên trong liên danh thực hiện các phần công việc theo hợp đồng một cách độc lập và riêng rẽ, Hội đồng Trọng tài cho rằng sẽ bất hợp lý và thiếu công bằng nếu việc thiếu một điều kiện mang tính hình thức và chỉ liên quan đến thành viên đứng đầu liên danh lại trở thành lý do để Bị đơn khước từ nghĩa vụ thanh toán của mình với Nguyên đơn. Do vậy, Hội đồng Trọng tài không chấp nhận lý do từ chối thanh toán của Bị đơn.  </w:t>
      </w:r>
    </w:p>
    <w:p w14:paraId="331C9664" w14:textId="77777777" w:rsidR="009A0987" w:rsidRDefault="009A0987" w:rsidP="009A0987">
      <w:pPr>
        <w:pStyle w:val="ListParagraph"/>
        <w:ind w:left="0" w:firstLine="567"/>
        <w:rPr>
          <w:b/>
          <w:bCs/>
        </w:rPr>
      </w:pPr>
      <w:r>
        <w:rPr>
          <w:b/>
          <w:bCs/>
        </w:rPr>
        <w:t>Bài học kinh nghiệm</w:t>
      </w:r>
    </w:p>
    <w:p w14:paraId="6AC25331" w14:textId="45047797" w:rsidR="009A0987" w:rsidRDefault="009A0987" w:rsidP="009A0987">
      <w:pPr>
        <w:ind w:firstLine="567"/>
      </w:pPr>
      <w:r>
        <w:t>Mặc dù trong trường hợp này, yêu cầu thanh toán của Nguyên đơn vẫn được Hội đồng Trọng tài chấp nhận nhưng để giảm thiểu rủi ro không được thanh toán trong khi đã hoàn tất công việc của mình, nhà thầu với tư cách là một thành viên liên danh, trong quá trình soạn thảo các hợp đồng và thỏa thuận liên quan, cần hạn chế đưa ra các điều kiện thanh toán mang tính hình thức, phụ thuộc vào việc thực hiện của một trong các thành viên liên danh</w:t>
      </w:r>
      <w:r w:rsidR="00592AF9">
        <w:t xml:space="preserve"> khác</w:t>
      </w:r>
      <w:r>
        <w:t xml:space="preserve"> mà không liên quan đến nội dung phần công việc</w:t>
      </w:r>
      <w:r w:rsidR="00592AF9">
        <w:t xml:space="preserve"> của mình</w:t>
      </w:r>
      <w:r>
        <w:t xml:space="preserve"> theo hợp đồng.</w:t>
      </w:r>
      <w:r w:rsidR="00592AF9">
        <w:t xml:space="preserve"> </w:t>
      </w:r>
    </w:p>
    <w:p w14:paraId="0C0CE27B" w14:textId="2B5312C1" w:rsidR="00194E59" w:rsidRPr="00194E59" w:rsidRDefault="00BE25C5" w:rsidP="00194E59">
      <w:pPr>
        <w:pStyle w:val="ListParagraph"/>
        <w:numPr>
          <w:ilvl w:val="0"/>
          <w:numId w:val="1"/>
        </w:numPr>
        <w:ind w:left="284" w:hanging="284"/>
        <w:rPr>
          <w:b/>
          <w:bCs/>
        </w:rPr>
      </w:pPr>
      <w:r>
        <w:rPr>
          <w:b/>
          <w:bCs/>
        </w:rPr>
        <w:t>Vấn đề</w:t>
      </w:r>
      <w:bookmarkStart w:id="0" w:name="_GoBack"/>
      <w:bookmarkEnd w:id="0"/>
      <w:r w:rsidR="00194E59">
        <w:rPr>
          <w:b/>
          <w:bCs/>
        </w:rPr>
        <w:t xml:space="preserve"> tranh chấp 05</w:t>
      </w:r>
    </w:p>
    <w:p w14:paraId="764B65CD" w14:textId="77777777" w:rsidR="009A0987" w:rsidRPr="00AE25D5" w:rsidRDefault="009A0987" w:rsidP="009A0987">
      <w:pPr>
        <w:pStyle w:val="ListParagraph"/>
        <w:ind w:left="0" w:firstLine="567"/>
        <w:rPr>
          <w:b/>
          <w:bCs/>
        </w:rPr>
      </w:pPr>
      <w:r>
        <w:rPr>
          <w:b/>
          <w:bCs/>
        </w:rPr>
        <w:t>Tóm tắt vụ tranh chấp</w:t>
      </w:r>
    </w:p>
    <w:p w14:paraId="458D6302" w14:textId="77777777" w:rsidR="009A0987" w:rsidRDefault="009A0987" w:rsidP="009A0987">
      <w:pPr>
        <w:pStyle w:val="ListParagraph"/>
        <w:ind w:left="0" w:firstLine="567"/>
      </w:pPr>
      <w:r>
        <w:t xml:space="preserve">Cũng trong vụ tranh chấp trên, theo hợp đồng giữa liên danh và Bị đơn, khi thực hiện thanh toán, Bị đơn sẽ thanh toán cho liên danh thông qua thành viên đứng đầu liên danh, trừ trường hợp thành viên đứng đầu liên danh có ủy quyền cụ thể việc tiếp nhận thanh toán cho thành viên khác. Điều 6 thỏa thuận liên danh cũng quy định trách nhiệm của thành viên đứng đầu liên danh bao gồm: đề nghị chủ đầu tư tạm ứng hoặc thanh toán, lập và xuất hóa đơn giá trị gia tăng cho chủ đầu tư với giá trị bằng tổng số tiền chủ đầu tư thanh toán cho liên danh, nhận tiền do chủ đầu tư chuyển khoản cho liên danh và chuyển trả cho các thành viên liên danh,... Như vậy, câu hỏi pháp </w:t>
      </w:r>
      <w:r>
        <w:lastRenderedPageBreak/>
        <w:t>lý đặt ra là Nguyên đơn với tư cách thành viên của liên danh có quyền yêu cầu Bị đơn thanh toán trực tiếp phần tiền tương ứng của mình hay không.</w:t>
      </w:r>
    </w:p>
    <w:p w14:paraId="5C1C0F2E" w14:textId="77777777" w:rsidR="009A0987" w:rsidRDefault="009A0987" w:rsidP="009A0987">
      <w:pPr>
        <w:pStyle w:val="ListParagraph"/>
        <w:ind w:left="0" w:firstLine="567"/>
      </w:pPr>
      <w:r>
        <w:t>Hội đồng Trọng tài cho rằng thỏa thuận liên danh là một hợp đồng ba bên không tạo lập pháp nhân mới, việc chỉ định người đứng đầu liên danh thực chất chính là hành vi ủy quyền cho bên đó đại diện mình thực hiện một số công việc nhất định trong quan hệ với chủ đầu tư. Do đó, nếu thành viên đứng đầu liên danh không thực hiện trách nhiệm một cách có chủ ý và vi phạm thỏa thuận liên danh thì Nguyên đơn và các thành viên có quyền chấm dứt ủy quyền. Như vậy, Nguyên đơn có quyền yêu cầu Bị đơn thanh toán trực tiếp phần tiền tương ứng của mình.</w:t>
      </w:r>
    </w:p>
    <w:p w14:paraId="3B7F2E2E" w14:textId="77777777" w:rsidR="009A0987" w:rsidRPr="00E648E6" w:rsidRDefault="009A0987" w:rsidP="009A0987">
      <w:pPr>
        <w:pStyle w:val="ListParagraph"/>
        <w:ind w:left="0" w:firstLine="567"/>
        <w:rPr>
          <w:b/>
          <w:bCs/>
        </w:rPr>
      </w:pPr>
      <w:r>
        <w:rPr>
          <w:b/>
          <w:bCs/>
        </w:rPr>
        <w:t>Bài học kinh nghiệm</w:t>
      </w:r>
    </w:p>
    <w:p w14:paraId="191B65B8" w14:textId="5296E78C" w:rsidR="009A0987" w:rsidRPr="00506C1A" w:rsidRDefault="009A0987" w:rsidP="009A0987">
      <w:pPr>
        <w:pStyle w:val="ListParagraph"/>
        <w:ind w:left="0" w:firstLine="567"/>
      </w:pPr>
      <w:r>
        <w:t xml:space="preserve">Quan hệ giữa các thành viên trong liên danh và thành viên đứng đầu liên danh đối với các công việc trong quan hệ với chủ đầu tư là quan hệ ủy quyền. Theo đó, khi tham gia thỏa thuận liên danh mà thành viên đứng đầu liên danh không thực hiện các công việc đại diện cho liên danh trong quan hệ với chủ đầu tư, dẫn đến chủ đầu tư không thực hiện nghĩa vụ theo hợp đồng, thì nhà thầu có thể trực tiếp yêu cầu chủ đầu tư mà không cần thông qua thành viên đứng đầu liên danh để bảo vệ quyền và lợi ích hợp pháp của mình. </w:t>
      </w:r>
      <w:r w:rsidR="00E44B7B">
        <w:t>Các điều khoản trong hợp đồng cần mở rộng thẩm quyền của các thành viên liên danh trong trường hợp thành viên đứng đầu liên danh không tự giác thực hiện quyền, nghĩa vụ chung của cả liên danh trong quan hệ với chủ đầu tư.</w:t>
      </w:r>
    </w:p>
    <w:p w14:paraId="4F91E292" w14:textId="77777777" w:rsidR="00CA757F" w:rsidRDefault="00CA757F"/>
    <w:sectPr w:rsidR="00CA757F" w:rsidSect="009B6388">
      <w:footerReference w:type="default" r:id="rId7"/>
      <w:pgSz w:w="11906" w:h="16838" w:code="9"/>
      <w:pgMar w:top="1440" w:right="1183" w:bottom="1418" w:left="1440" w:header="720" w:footer="5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FC828" w14:textId="77777777" w:rsidR="00C76417" w:rsidRDefault="00C76417" w:rsidP="009B6388">
      <w:pPr>
        <w:spacing w:line="240" w:lineRule="auto"/>
      </w:pPr>
      <w:r>
        <w:separator/>
      </w:r>
    </w:p>
  </w:endnote>
  <w:endnote w:type="continuationSeparator" w:id="0">
    <w:p w14:paraId="00600ED1" w14:textId="77777777" w:rsidR="00C76417" w:rsidRDefault="00C76417" w:rsidP="009B63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7200483"/>
      <w:docPartObj>
        <w:docPartGallery w:val="Page Numbers (Bottom of Page)"/>
        <w:docPartUnique/>
      </w:docPartObj>
    </w:sdtPr>
    <w:sdtEndPr>
      <w:rPr>
        <w:noProof/>
      </w:rPr>
    </w:sdtEndPr>
    <w:sdtContent>
      <w:p w14:paraId="07FC357E" w14:textId="009375C0" w:rsidR="009B6388" w:rsidRDefault="009B6388" w:rsidP="009B6388">
        <w:pPr>
          <w:pStyle w:val="Footer"/>
          <w:jc w:val="center"/>
        </w:pPr>
        <w:r>
          <w:fldChar w:fldCharType="begin"/>
        </w:r>
        <w:r>
          <w:instrText xml:space="preserve"> PAGE   \* MERGEFORMAT </w:instrText>
        </w:r>
        <w:r>
          <w:fldChar w:fldCharType="separate"/>
        </w:r>
        <w:r w:rsidR="00BE25C5">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523EF" w14:textId="77777777" w:rsidR="00C76417" w:rsidRDefault="00C76417" w:rsidP="009B6388">
      <w:pPr>
        <w:spacing w:line="240" w:lineRule="auto"/>
      </w:pPr>
      <w:r>
        <w:separator/>
      </w:r>
    </w:p>
  </w:footnote>
  <w:footnote w:type="continuationSeparator" w:id="0">
    <w:p w14:paraId="2A98CFEF" w14:textId="77777777" w:rsidR="00C76417" w:rsidRDefault="00C76417" w:rsidP="009B638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E34A9"/>
    <w:multiLevelType w:val="hybridMultilevel"/>
    <w:tmpl w:val="59AA68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987"/>
    <w:rsid w:val="00003EB9"/>
    <w:rsid w:val="001108D5"/>
    <w:rsid w:val="001476AB"/>
    <w:rsid w:val="00194E59"/>
    <w:rsid w:val="003B32D8"/>
    <w:rsid w:val="00592AF9"/>
    <w:rsid w:val="00750E8B"/>
    <w:rsid w:val="009A0987"/>
    <w:rsid w:val="009B6388"/>
    <w:rsid w:val="00BE25C5"/>
    <w:rsid w:val="00C76417"/>
    <w:rsid w:val="00C83A86"/>
    <w:rsid w:val="00CA757F"/>
    <w:rsid w:val="00D05EBD"/>
    <w:rsid w:val="00E44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DC67B"/>
  <w15:chartTrackingRefBased/>
  <w15:docId w15:val="{B826CFD5-1B02-43C7-A0B2-B0D3E273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9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87"/>
    <w:pPr>
      <w:ind w:left="720"/>
      <w:contextualSpacing/>
    </w:pPr>
  </w:style>
  <w:style w:type="paragraph" w:styleId="Header">
    <w:name w:val="header"/>
    <w:basedOn w:val="Normal"/>
    <w:link w:val="HeaderChar"/>
    <w:uiPriority w:val="99"/>
    <w:unhideWhenUsed/>
    <w:rsid w:val="009B6388"/>
    <w:pPr>
      <w:tabs>
        <w:tab w:val="center" w:pos="4513"/>
        <w:tab w:val="right" w:pos="9026"/>
      </w:tabs>
      <w:spacing w:line="240" w:lineRule="auto"/>
    </w:pPr>
  </w:style>
  <w:style w:type="character" w:customStyle="1" w:styleId="HeaderChar">
    <w:name w:val="Header Char"/>
    <w:basedOn w:val="DefaultParagraphFont"/>
    <w:link w:val="Header"/>
    <w:uiPriority w:val="99"/>
    <w:rsid w:val="009B6388"/>
  </w:style>
  <w:style w:type="paragraph" w:styleId="Footer">
    <w:name w:val="footer"/>
    <w:basedOn w:val="Normal"/>
    <w:link w:val="FooterChar"/>
    <w:uiPriority w:val="99"/>
    <w:unhideWhenUsed/>
    <w:rsid w:val="009B6388"/>
    <w:pPr>
      <w:tabs>
        <w:tab w:val="center" w:pos="4513"/>
        <w:tab w:val="right" w:pos="9026"/>
      </w:tabs>
      <w:spacing w:line="240" w:lineRule="auto"/>
    </w:pPr>
  </w:style>
  <w:style w:type="character" w:customStyle="1" w:styleId="FooterChar">
    <w:name w:val="Footer Char"/>
    <w:basedOn w:val="DefaultParagraphFont"/>
    <w:link w:val="Footer"/>
    <w:uiPriority w:val="99"/>
    <w:rsid w:val="009B6388"/>
  </w:style>
  <w:style w:type="table" w:styleId="TableGrid">
    <w:name w:val="Table Grid"/>
    <w:basedOn w:val="TableNormal"/>
    <w:uiPriority w:val="39"/>
    <w:rsid w:val="009B638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5</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Lại Phong Anh</dc:creator>
  <cp:keywords/>
  <dc:description/>
  <cp:lastModifiedBy>Win7</cp:lastModifiedBy>
  <cp:revision>11</cp:revision>
  <dcterms:created xsi:type="dcterms:W3CDTF">2021-07-16T06:53:00Z</dcterms:created>
  <dcterms:modified xsi:type="dcterms:W3CDTF">2021-09-09T11:47:00Z</dcterms:modified>
</cp:coreProperties>
</file>